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661E524"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E357D8">
        <w:rPr>
          <w:rFonts w:ascii="Arial Narrow" w:hAnsi="Arial Narrow"/>
          <w:sz w:val="20"/>
        </w:rPr>
        <w:t>4</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FCA34C6"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C75E50">
        <w:rPr>
          <w:rFonts w:ascii="Arial Narrow" w:hAnsi="Arial Narrow"/>
        </w:rPr>
        <w:t>4</w:t>
      </w:r>
      <w:r w:rsidR="00B81EA3">
        <w:rPr>
          <w:rFonts w:ascii="Arial Narrow" w:hAnsi="Arial Narrow"/>
        </w:rPr>
        <w:t xml:space="preserve">: </w:t>
      </w:r>
      <w:r w:rsidR="00F44B1E">
        <w:rPr>
          <w:rFonts w:ascii="Arial Narrow" w:hAnsi="Arial Narrow"/>
        </w:rPr>
        <w:t>„</w:t>
      </w:r>
      <w:r w:rsidR="00E357D8" w:rsidRPr="00E357D8">
        <w:rPr>
          <w:rFonts w:ascii="Arial Narrow" w:hAnsi="Arial Narrow" w:cs="Arial"/>
          <w:b/>
        </w:rPr>
        <w:t>POCT – INR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E357D8">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montáž, instalace, uvedení do provozu včetně ověření jeho funkčnosti, provedení všech provozních testů (zejména výchozí elektrorevize</w:t>
      </w:r>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CE declaration</w:t>
      </w:r>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Tato smlouva nabývá platnosti a účinnosti podpisem poslední smluvní strany v případě zdravotnických prostředků ve smyslu ust.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1592C" w14:textId="77777777" w:rsidR="00F56DDA" w:rsidRDefault="00F56DDA">
      <w:r>
        <w:separator/>
      </w:r>
    </w:p>
  </w:endnote>
  <w:endnote w:type="continuationSeparator" w:id="0">
    <w:p w14:paraId="431487C4" w14:textId="77777777" w:rsidR="00F56DDA" w:rsidRDefault="00F56DDA">
      <w:r>
        <w:continuationSeparator/>
      </w:r>
    </w:p>
  </w:endnote>
  <w:endnote w:type="continuationNotice" w:id="1">
    <w:p w14:paraId="48AA16EB" w14:textId="77777777" w:rsidR="00F56DDA" w:rsidRDefault="00F56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30C87" w14:textId="77777777" w:rsidR="00F56DDA" w:rsidRDefault="00F56DDA">
      <w:r>
        <w:separator/>
      </w:r>
    </w:p>
  </w:footnote>
  <w:footnote w:type="continuationSeparator" w:id="0">
    <w:p w14:paraId="740912FC" w14:textId="77777777" w:rsidR="00F56DDA" w:rsidRDefault="00F56DDA">
      <w:r>
        <w:continuationSeparator/>
      </w:r>
    </w:p>
  </w:footnote>
  <w:footnote w:type="continuationNotice" w:id="1">
    <w:p w14:paraId="3E3DEFCB" w14:textId="77777777" w:rsidR="00F56DDA" w:rsidRDefault="00F56D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48A8"/>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75E50"/>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7D8"/>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6DDA"/>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18</Pages>
  <Words>5960</Words>
  <Characters>35165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41043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2023-04-13T17:22:00Z</dcterms:modified>
</cp:coreProperties>
</file>